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2A4" w:rsidRDefault="004F12A4" w:rsidP="00657847">
      <w:pPr>
        <w:jc w:val="center"/>
        <w:rPr>
          <w:b/>
          <w:sz w:val="28"/>
          <w:szCs w:val="28"/>
        </w:rPr>
      </w:pPr>
      <w:r w:rsidRPr="00657847">
        <w:rPr>
          <w:b/>
          <w:sz w:val="28"/>
          <w:szCs w:val="28"/>
        </w:rPr>
        <w:t xml:space="preserve">Evaluation significative </w:t>
      </w:r>
      <w:r w:rsidR="00DC0B04">
        <w:rPr>
          <w:b/>
          <w:sz w:val="28"/>
          <w:szCs w:val="28"/>
        </w:rPr>
        <w:t>N°</w:t>
      </w:r>
    </w:p>
    <w:p w:rsidR="00DC0B04" w:rsidRDefault="00DC0B04" w:rsidP="00657847">
      <w:pPr>
        <w:jc w:val="center"/>
        <w:rPr>
          <w:b/>
          <w:sz w:val="28"/>
          <w:szCs w:val="28"/>
        </w:rPr>
      </w:pPr>
    </w:p>
    <w:p w:rsidR="004F12A4" w:rsidRDefault="004F12A4" w:rsidP="00DC0B04">
      <w:r>
        <w:t>Thème : 1.2 La diversité des organisations, leur finalité et leur réalité</w:t>
      </w:r>
    </w:p>
    <w:p w:rsidR="004F12A4" w:rsidRDefault="004F12A4" w:rsidP="00657847">
      <w:pPr>
        <w:jc w:val="both"/>
      </w:pPr>
      <w:r w:rsidRPr="00657847">
        <w:rPr>
          <w:u w:val="single"/>
        </w:rPr>
        <w:t>Compétences évaluées</w:t>
      </w:r>
      <w:r>
        <w:t>:</w:t>
      </w:r>
    </w:p>
    <w:p w:rsidR="004F12A4" w:rsidRDefault="004F12A4" w:rsidP="00657847">
      <w:pPr>
        <w:jc w:val="both"/>
      </w:pPr>
      <w:r>
        <w:t>C1.2.1 Caractériser les différentes organisations.</w:t>
      </w:r>
    </w:p>
    <w:p w:rsidR="004F12A4" w:rsidRDefault="004F12A4" w:rsidP="00657847">
      <w:pPr>
        <w:jc w:val="both"/>
      </w:pPr>
      <w:r>
        <w:t>C1.2.2 Repérer la diversité des finalités et des objectifs des organisations.</w:t>
      </w:r>
    </w:p>
    <w:p w:rsidR="004F12A4" w:rsidRDefault="004F12A4" w:rsidP="00657847">
      <w:pPr>
        <w:jc w:val="both"/>
      </w:pPr>
    </w:p>
    <w:p w:rsidR="004F12A4" w:rsidRDefault="004F12A4" w:rsidP="00657847">
      <w:pPr>
        <w:jc w:val="both"/>
      </w:pPr>
      <w:r>
        <w:t>1</w:t>
      </w:r>
      <w:r w:rsidRPr="0045540A">
        <w:rPr>
          <w:vertAlign w:val="superscript"/>
        </w:rPr>
        <w:t>ère</w:t>
      </w:r>
      <w:r>
        <w:t xml:space="preserve"> situation</w:t>
      </w:r>
    </w:p>
    <w:p w:rsidR="004F12A4" w:rsidRDefault="004F12A4" w:rsidP="00657847">
      <w:pPr>
        <w:jc w:val="both"/>
      </w:pPr>
      <w:r>
        <w:t>A partir de logos connus, identifier les différents types d’organisations et déterminer leur finalité.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70"/>
        <w:gridCol w:w="3071"/>
        <w:gridCol w:w="3071"/>
      </w:tblGrid>
      <w:tr w:rsidR="004F12A4" w:rsidRPr="00CB52B0" w:rsidTr="00CB52B0">
        <w:tc>
          <w:tcPr>
            <w:tcW w:w="3070" w:type="dxa"/>
          </w:tcPr>
          <w:p w:rsidR="004F12A4" w:rsidRPr="00CB52B0" w:rsidRDefault="004F12A4" w:rsidP="00CB52B0">
            <w:pPr>
              <w:spacing w:after="0" w:line="240" w:lineRule="auto"/>
              <w:jc w:val="center"/>
            </w:pPr>
            <w:r w:rsidRPr="00CB52B0">
              <w:t>LOGO</w:t>
            </w:r>
          </w:p>
        </w:tc>
        <w:tc>
          <w:tcPr>
            <w:tcW w:w="3071" w:type="dxa"/>
          </w:tcPr>
          <w:p w:rsidR="004F12A4" w:rsidRPr="00CB52B0" w:rsidRDefault="00AC6F13" w:rsidP="00CB52B0">
            <w:pPr>
              <w:spacing w:after="0" w:line="240" w:lineRule="auto"/>
              <w:jc w:val="center"/>
            </w:pPr>
            <w:r>
              <w:t>Type</w:t>
            </w:r>
            <w:r w:rsidR="004F12A4" w:rsidRPr="00CB52B0">
              <w:t xml:space="preserve"> d’organisation</w:t>
            </w:r>
          </w:p>
        </w:tc>
        <w:tc>
          <w:tcPr>
            <w:tcW w:w="3071" w:type="dxa"/>
          </w:tcPr>
          <w:p w:rsidR="004F12A4" w:rsidRPr="00CB52B0" w:rsidRDefault="004F12A4" w:rsidP="00CB52B0">
            <w:pPr>
              <w:spacing w:after="0" w:line="240" w:lineRule="auto"/>
              <w:jc w:val="center"/>
            </w:pPr>
            <w:r w:rsidRPr="00CB52B0">
              <w:t>Finalités</w:t>
            </w:r>
          </w:p>
        </w:tc>
      </w:tr>
      <w:tr w:rsidR="004F12A4" w:rsidRPr="00CB52B0" w:rsidTr="00CB52B0">
        <w:tc>
          <w:tcPr>
            <w:tcW w:w="3070" w:type="dxa"/>
          </w:tcPr>
          <w:p w:rsidR="004F12A4" w:rsidRPr="00CB52B0" w:rsidRDefault="00003C04" w:rsidP="00CB52B0">
            <w:pPr>
              <w:spacing w:after="0" w:line="240" w:lineRule="auto"/>
              <w:jc w:val="both"/>
            </w:pPr>
            <w:r>
              <w:rPr>
                <w:rFonts w:ascii="Verdana" w:hAnsi="Verdana"/>
                <w:noProof/>
                <w:lang w:eastAsia="fr-FR"/>
              </w:rPr>
              <w:drawing>
                <wp:inline distT="0" distB="0" distL="0" distR="0">
                  <wp:extent cx="914400" cy="476250"/>
                  <wp:effectExtent l="19050" t="0" r="0" b="0"/>
                  <wp:docPr id="1" name="Image 1" descr="http://i18.servimg.com/u/f18/11/78/41/07/index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i18.servimg.com/u/f18/11/78/41/07/index10.jpg"/>
                          <pic:cNvPicPr>
                            <a:picLocks noChangeAspect="1" noChangeArrowheads="1"/>
                          </pic:cNvPicPr>
                        </pic:nvPicPr>
                        <pic:blipFill>
                          <a:blip r:embed="rId7"/>
                          <a:srcRect/>
                          <a:stretch>
                            <a:fillRect/>
                          </a:stretch>
                        </pic:blipFill>
                        <pic:spPr bwMode="auto">
                          <a:xfrm>
                            <a:off x="0" y="0"/>
                            <a:ext cx="914400" cy="476250"/>
                          </a:xfrm>
                          <a:prstGeom prst="rect">
                            <a:avLst/>
                          </a:prstGeom>
                          <a:noFill/>
                          <a:ln w="9525">
                            <a:noFill/>
                            <a:miter lim="800000"/>
                            <a:headEnd/>
                            <a:tailEnd/>
                          </a:ln>
                        </pic:spPr>
                      </pic:pic>
                    </a:graphicData>
                  </a:graphic>
                </wp:inline>
              </w:drawing>
            </w:r>
          </w:p>
        </w:tc>
        <w:tc>
          <w:tcPr>
            <w:tcW w:w="3071" w:type="dxa"/>
          </w:tcPr>
          <w:p w:rsidR="004F12A4" w:rsidRPr="00CB52B0" w:rsidRDefault="004F12A4" w:rsidP="00CB52B0">
            <w:pPr>
              <w:spacing w:after="0" w:line="240" w:lineRule="auto"/>
              <w:jc w:val="both"/>
            </w:pPr>
          </w:p>
        </w:tc>
        <w:tc>
          <w:tcPr>
            <w:tcW w:w="3071" w:type="dxa"/>
          </w:tcPr>
          <w:p w:rsidR="004F12A4" w:rsidRPr="00CB52B0" w:rsidRDefault="004F12A4" w:rsidP="00CB52B0">
            <w:pPr>
              <w:spacing w:after="0" w:line="240" w:lineRule="auto"/>
              <w:jc w:val="both"/>
            </w:pPr>
          </w:p>
        </w:tc>
      </w:tr>
      <w:tr w:rsidR="004F12A4" w:rsidRPr="00CB52B0" w:rsidTr="00CB52B0">
        <w:tc>
          <w:tcPr>
            <w:tcW w:w="3070" w:type="dxa"/>
          </w:tcPr>
          <w:p w:rsidR="004F12A4" w:rsidRPr="00CB52B0" w:rsidRDefault="00003C04" w:rsidP="00CB52B0">
            <w:pPr>
              <w:spacing w:after="0" w:line="240" w:lineRule="auto"/>
              <w:jc w:val="both"/>
            </w:pPr>
            <w:r>
              <w:rPr>
                <w:rFonts w:ascii="Trebuchet MS" w:hAnsi="Trebuchet MS"/>
                <w:noProof/>
                <w:color w:val="0000CC"/>
                <w:sz w:val="15"/>
                <w:szCs w:val="15"/>
                <w:lang w:eastAsia="fr-FR"/>
              </w:rPr>
              <w:drawing>
                <wp:inline distT="0" distB="0" distL="0" distR="0">
                  <wp:extent cx="762000" cy="476250"/>
                  <wp:effectExtent l="19050" t="0" r="0" b="0"/>
                  <wp:docPr id="2" name="Image 4" descr="http://storage.canalblog.com/53/56/252874/50474179.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http://storage.canalblog.com/53/56/252874/50474179.jpg">
                            <a:hlinkClick r:id="rId8"/>
                          </pic:cNvPr>
                          <pic:cNvPicPr>
                            <a:picLocks noChangeAspect="1" noChangeArrowheads="1"/>
                          </pic:cNvPicPr>
                        </pic:nvPicPr>
                        <pic:blipFill>
                          <a:blip r:embed="rId9"/>
                          <a:srcRect/>
                          <a:stretch>
                            <a:fillRect/>
                          </a:stretch>
                        </pic:blipFill>
                        <pic:spPr bwMode="auto">
                          <a:xfrm>
                            <a:off x="0" y="0"/>
                            <a:ext cx="762000" cy="476250"/>
                          </a:xfrm>
                          <a:prstGeom prst="rect">
                            <a:avLst/>
                          </a:prstGeom>
                          <a:noFill/>
                          <a:ln w="9525">
                            <a:noFill/>
                            <a:miter lim="800000"/>
                            <a:headEnd/>
                            <a:tailEnd/>
                          </a:ln>
                        </pic:spPr>
                      </pic:pic>
                    </a:graphicData>
                  </a:graphic>
                </wp:inline>
              </w:drawing>
            </w:r>
          </w:p>
        </w:tc>
        <w:tc>
          <w:tcPr>
            <w:tcW w:w="3071" w:type="dxa"/>
          </w:tcPr>
          <w:p w:rsidR="004F12A4" w:rsidRPr="00CB52B0" w:rsidRDefault="004F12A4" w:rsidP="00CB52B0">
            <w:pPr>
              <w:spacing w:after="0" w:line="240" w:lineRule="auto"/>
              <w:jc w:val="both"/>
            </w:pPr>
          </w:p>
        </w:tc>
        <w:tc>
          <w:tcPr>
            <w:tcW w:w="3071" w:type="dxa"/>
          </w:tcPr>
          <w:p w:rsidR="004F12A4" w:rsidRPr="00CB52B0" w:rsidRDefault="004F12A4" w:rsidP="00CB52B0">
            <w:pPr>
              <w:spacing w:after="0" w:line="240" w:lineRule="auto"/>
              <w:jc w:val="both"/>
            </w:pPr>
          </w:p>
        </w:tc>
      </w:tr>
      <w:tr w:rsidR="004F12A4" w:rsidRPr="00CB52B0" w:rsidTr="00CB52B0">
        <w:tc>
          <w:tcPr>
            <w:tcW w:w="3070" w:type="dxa"/>
          </w:tcPr>
          <w:p w:rsidR="004F12A4" w:rsidRDefault="00003C04" w:rsidP="00BC47C8">
            <w:pPr>
              <w:pStyle w:val="NormalWeb"/>
            </w:pPr>
            <w:r>
              <w:rPr>
                <w:noProof/>
              </w:rPr>
              <w:drawing>
                <wp:inline distT="0" distB="0" distL="0" distR="0">
                  <wp:extent cx="771525" cy="571500"/>
                  <wp:effectExtent l="1905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771525" cy="571500"/>
                          </a:xfrm>
                          <a:prstGeom prst="rect">
                            <a:avLst/>
                          </a:prstGeom>
                          <a:noFill/>
                          <a:ln w="9525">
                            <a:noFill/>
                            <a:miter lim="800000"/>
                            <a:headEnd/>
                            <a:tailEnd/>
                          </a:ln>
                        </pic:spPr>
                      </pic:pic>
                    </a:graphicData>
                  </a:graphic>
                </wp:inline>
              </w:drawing>
            </w:r>
          </w:p>
        </w:tc>
        <w:tc>
          <w:tcPr>
            <w:tcW w:w="3071" w:type="dxa"/>
          </w:tcPr>
          <w:p w:rsidR="004F12A4" w:rsidRPr="00CB52B0" w:rsidRDefault="004F12A4" w:rsidP="00CB52B0">
            <w:pPr>
              <w:spacing w:after="0" w:line="240" w:lineRule="auto"/>
              <w:jc w:val="both"/>
            </w:pPr>
          </w:p>
        </w:tc>
        <w:tc>
          <w:tcPr>
            <w:tcW w:w="3071" w:type="dxa"/>
          </w:tcPr>
          <w:p w:rsidR="004F12A4" w:rsidRPr="00CB52B0" w:rsidRDefault="004F12A4" w:rsidP="00CB52B0">
            <w:pPr>
              <w:spacing w:after="0" w:line="240" w:lineRule="auto"/>
              <w:jc w:val="both"/>
            </w:pPr>
          </w:p>
        </w:tc>
      </w:tr>
      <w:tr w:rsidR="004F12A4" w:rsidRPr="00CB52B0" w:rsidTr="00CB52B0">
        <w:tc>
          <w:tcPr>
            <w:tcW w:w="3070" w:type="dxa"/>
          </w:tcPr>
          <w:p w:rsidR="004F12A4" w:rsidRPr="00CB52B0" w:rsidRDefault="00003C04" w:rsidP="00CB52B0">
            <w:pPr>
              <w:spacing w:after="0" w:line="240" w:lineRule="auto"/>
              <w:jc w:val="both"/>
            </w:pPr>
            <w:r>
              <w:rPr>
                <w:noProof/>
                <w:lang w:eastAsia="fr-FR"/>
              </w:rPr>
              <w:drawing>
                <wp:inline distT="0" distB="0" distL="0" distR="0">
                  <wp:extent cx="1504950" cy="495300"/>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504950" cy="495300"/>
                          </a:xfrm>
                          <a:prstGeom prst="rect">
                            <a:avLst/>
                          </a:prstGeom>
                          <a:noFill/>
                          <a:ln w="9525">
                            <a:noFill/>
                            <a:miter lim="800000"/>
                            <a:headEnd/>
                            <a:tailEnd/>
                          </a:ln>
                        </pic:spPr>
                      </pic:pic>
                    </a:graphicData>
                  </a:graphic>
                </wp:inline>
              </w:drawing>
            </w:r>
          </w:p>
        </w:tc>
        <w:tc>
          <w:tcPr>
            <w:tcW w:w="3071" w:type="dxa"/>
          </w:tcPr>
          <w:p w:rsidR="004F12A4" w:rsidRPr="00CB52B0" w:rsidRDefault="004F12A4" w:rsidP="00CB52B0">
            <w:pPr>
              <w:spacing w:after="0" w:line="240" w:lineRule="auto"/>
              <w:jc w:val="both"/>
            </w:pPr>
          </w:p>
        </w:tc>
        <w:tc>
          <w:tcPr>
            <w:tcW w:w="3071" w:type="dxa"/>
          </w:tcPr>
          <w:p w:rsidR="004F12A4" w:rsidRPr="00CB52B0" w:rsidRDefault="004F12A4" w:rsidP="00CB52B0">
            <w:pPr>
              <w:spacing w:after="0" w:line="240" w:lineRule="auto"/>
              <w:jc w:val="both"/>
            </w:pPr>
          </w:p>
        </w:tc>
      </w:tr>
    </w:tbl>
    <w:p w:rsidR="004F12A4" w:rsidRDefault="004F12A4" w:rsidP="00657847">
      <w:pPr>
        <w:jc w:val="both"/>
      </w:pPr>
    </w:p>
    <w:p w:rsidR="004F12A4" w:rsidRDefault="004F12A4" w:rsidP="00913D66">
      <w:r>
        <w:t>2</w:t>
      </w:r>
      <w:r w:rsidRPr="0045540A">
        <w:rPr>
          <w:vertAlign w:val="superscript"/>
        </w:rPr>
        <w:t>ième</w:t>
      </w:r>
      <w:r>
        <w:t xml:space="preserve"> situation</w:t>
      </w:r>
    </w:p>
    <w:p w:rsidR="004F12A4" w:rsidRDefault="004F12A4" w:rsidP="00913D66">
      <w:pPr>
        <w:rPr>
          <w:rStyle w:val="lev"/>
        </w:rPr>
      </w:pPr>
      <w:r w:rsidRPr="00913D66">
        <w:t xml:space="preserve"> </w:t>
      </w:r>
      <w:r>
        <w:t>A partir de 2 articles de presse mettant en comparaison deux types d’organisations différentes (association et entreprise privée), répondre aux afin de définir la finalité et les objectifs de chacune.</w:t>
      </w:r>
      <w:r w:rsidRPr="006301C1">
        <w:rPr>
          <w:rStyle w:val="lev"/>
        </w:rPr>
        <w:t xml:space="preserve"> </w:t>
      </w:r>
    </w:p>
    <w:p w:rsidR="004F12A4" w:rsidRDefault="004F12A4" w:rsidP="00B57D98"/>
    <w:p w:rsidR="004F12A4" w:rsidRDefault="004F12A4" w:rsidP="00B57D98">
      <w:r>
        <w:rPr>
          <w:rStyle w:val="lev"/>
        </w:rPr>
        <w:t>Document 1• </w:t>
      </w:r>
      <w:r w:rsidR="00D6637B">
        <w:t xml:space="preserve"> </w:t>
      </w:r>
      <w:r>
        <w:t xml:space="preserve">Auteur inconnu Anatole </w:t>
      </w:r>
      <w:r>
        <w:rPr>
          <w:rStyle w:val="lev"/>
        </w:rPr>
        <w:t>• </w:t>
      </w:r>
      <w:r>
        <w:t xml:space="preserve">Samedi 23 octobre 2010 à 0h00 </w:t>
      </w:r>
    </w:p>
    <w:p w:rsidR="004F12A4" w:rsidRPr="00D6637B" w:rsidRDefault="002E4738" w:rsidP="00B57D98">
      <w:pPr>
        <w:pStyle w:val="Titre2"/>
        <w:rPr>
          <w:sz w:val="22"/>
          <w:szCs w:val="22"/>
        </w:rPr>
      </w:pPr>
      <w:hyperlink r:id="rId12" w:tooltip="Lire l'article" w:history="1">
        <w:r w:rsidR="004F12A4" w:rsidRPr="00D6637B">
          <w:rPr>
            <w:rStyle w:val="Lienhypertexte"/>
            <w:sz w:val="22"/>
            <w:szCs w:val="22"/>
          </w:rPr>
          <w:t>BOURG-EN-BRESSE - le programme des 40 ans de la MJC</w:t>
        </w:r>
      </w:hyperlink>
    </w:p>
    <w:p w:rsidR="004F12A4" w:rsidRDefault="004F12A4" w:rsidP="00B57D98"/>
    <w:p w:rsidR="004F12A4" w:rsidRDefault="004F12A4" w:rsidP="00B57D98">
      <w:pPr>
        <w:numPr>
          <w:ilvl w:val="0"/>
          <w:numId w:val="1"/>
        </w:numPr>
        <w:spacing w:before="100" w:beforeAutospacing="1" w:after="100" w:afterAutospacing="1" w:line="240" w:lineRule="auto"/>
      </w:pPr>
      <w:r>
        <w:t>2010 marque le quarantième anniversaire de la MJC de Bourg-en-Bresse. Pour fêter l’évènement, de nombreuses festivités ont été mises en place débutant dès le 22 octobre et ce, jusqu’au 31. La soirée d’ouverture sera animée par des concerts sous chapiteaux où certains groupes reviendront sur les lieux où leur aventure a commencé.</w:t>
      </w:r>
      <w:r w:rsidR="00D6637B">
        <w:t xml:space="preserve"> </w:t>
      </w:r>
      <w:r>
        <w:t xml:space="preserve">Les deux soirées suivantes mettent en scène marionnettes, avec la compagnie Arnica, théâtre et concerts de </w:t>
      </w:r>
      <w:r>
        <w:lastRenderedPageBreak/>
        <w:t>tous styles pour satisfaire le plus grand nombre. Le dimanche 24 laisse la scène ouverte aux artistes en tout genre (danse, vidéo, théâtre) afin de découvrir de nouveaux talents. Le lundi 25 est placé sous le signe du hip-hop et des artistes de rue. Danse, cracheurs de feu, percussions et autres jongleurs sont au programme. Le lendemain, dans le cadre du festival du film d’animation pour la jeunesse, cinq séances, de 10 à 20 heures sont mises en place avec le manga « Summer war » en tête d’affiche à 20 heures. Le jeudi 27 est une journée consacrée au jeune public qui pourra s’adonner aux activités proposées par l’association et participer à un bal vers 16 heures. Les adultes seront conviés à une conférence-débat autour de l’éducation populaire à 19 heures le 28. Le 29, des notes et des mots montent sur la scène de la MJC à 20 heures 30 avant de conclure cette semaine anniversaire par la nuit du jeu qui débutera à… 14 heures.</w:t>
      </w:r>
    </w:p>
    <w:p w:rsidR="004F12A4" w:rsidRPr="00D6637B" w:rsidRDefault="004F12A4" w:rsidP="00D6637B">
      <w:pPr>
        <w:pStyle w:val="NormalWeb"/>
        <w:ind w:left="708"/>
        <w:rPr>
          <w:sz w:val="22"/>
          <w:szCs w:val="22"/>
        </w:rPr>
      </w:pPr>
      <w:r w:rsidRPr="00D6637B">
        <w:rPr>
          <w:sz w:val="22"/>
          <w:szCs w:val="22"/>
        </w:rPr>
        <w:t>A ne pas manquer également l’exposition retraçant le parcours de la MJC depuis sa création et qui sera accessible jusqu’à la fin de l’année, permettra aux plus jeunes de découvrir l’association et aux plus anciens de la redécouvrir.</w:t>
      </w:r>
    </w:p>
    <w:p w:rsidR="004F12A4" w:rsidRDefault="004F12A4" w:rsidP="00657847">
      <w:pPr>
        <w:jc w:val="both"/>
      </w:pPr>
    </w:p>
    <w:p w:rsidR="004F12A4" w:rsidRDefault="004F12A4" w:rsidP="006301C1">
      <w:r>
        <w:rPr>
          <w:rStyle w:val="lev"/>
        </w:rPr>
        <w:t>Document 2• </w:t>
      </w:r>
      <w:r>
        <w:t xml:space="preserve"> LAJUS Chantal </w:t>
      </w:r>
      <w:r>
        <w:rPr>
          <w:rStyle w:val="lev"/>
        </w:rPr>
        <w:t>• </w:t>
      </w:r>
      <w:r>
        <w:t xml:space="preserve">Jeudi 16 décembre 2010 à 0h00 </w:t>
      </w:r>
    </w:p>
    <w:p w:rsidR="004F12A4" w:rsidRPr="00D6637B" w:rsidRDefault="002E4738" w:rsidP="00AA272A">
      <w:pPr>
        <w:pStyle w:val="Titre2"/>
        <w:rPr>
          <w:sz w:val="28"/>
          <w:szCs w:val="28"/>
        </w:rPr>
      </w:pPr>
      <w:hyperlink r:id="rId13" w:tooltip="Lire l'article" w:history="1">
        <w:r w:rsidR="004F12A4" w:rsidRPr="00D6637B">
          <w:rPr>
            <w:rStyle w:val="Lienhypertexte"/>
            <w:sz w:val="28"/>
            <w:szCs w:val="28"/>
          </w:rPr>
          <w:t xml:space="preserve">Fermob : l’entreprise résiste à la crise, surfe sur l’innovation </w:t>
        </w:r>
      </w:hyperlink>
    </w:p>
    <w:p w:rsidR="004F12A4" w:rsidRDefault="004F12A4" w:rsidP="00D6637B">
      <w:pPr>
        <w:pStyle w:val="legendegrandeimage"/>
      </w:pPr>
      <w:r>
        <w:t xml:space="preserve">La PME a installé ses chaises dans le monde entier. </w:t>
      </w:r>
    </w:p>
    <w:p w:rsidR="004F12A4" w:rsidRDefault="004F12A4" w:rsidP="006301C1">
      <w:pPr>
        <w:pStyle w:val="NormalWeb"/>
      </w:pPr>
      <w:r>
        <w:t xml:space="preserve">Un chiffre d’affaires de 30,5 millions d’euros en progression de 16 % par rapport à 2009 dont 41 % réalisés à l’export, 200 salariés contre 12 en 1989, et 400 000 pièces/an qui sortent de ses ateliers de Saint-Didier-sur-Chalaronne : Fermob conforte son assise sur le marché du mobilier de jardin et tourne le dos à la crise ! La PME reprise il y a 21 ans par Bernard Reybier a installé, sans fanfare, ses chaises d’un bout à l’autre du monde : dans le campus d’Harward, au théâtre romain des Nuits de Fourvière, dans le jardin du Luxembourg, sur les pelouses de Manhattan ou au Zoo d’Amsterdam, etc. La célèbre chaise bistrot pliante qui fit décoller l’enseigne est toujours présente au catalogue mais la collection ne cesse de s’enrichir de produits novateurs tant dans le design que dans les matières premières : fauteuils, tabourets, chaises longues, tables, guéridons, bains de soleil, etc. De nouvelles gammes signeront le printemps 2011 : </w:t>
      </w:r>
      <w:r>
        <w:rPr>
          <w:rStyle w:val="Accentuation"/>
        </w:rPr>
        <w:t>« nous complétons des séries existantes et nous explorons de nouvelles fonctions avec un style bien affirmé, des couleurs nouvelles aussi »</w:t>
      </w:r>
      <w:r>
        <w:t xml:space="preserve">, commente le PDG. Un PDG qui regarde l’avenir tout à la fois avec sérénité et vigilance : « Nous avons des incertitudes sur les variations des monnaies et matières premières. Il y a deux ans, nous avons pris de plein fouet la hausse de l’acier,+60 %. Nous avons souffert de la hausse des matières premières et cela a été difficile en termes de marge… pas en termes d’activité. Ceci pour trois raisons. Nous développons une stratégie d’innovation et de créativité, nous avons une dimension internationale, et l’entreprise a construit sa marque sur une image haut de gamme, de qualité, à des prix accessibles. Nous sommes essentiellement présents sur deux marchés : celui du particulier et celui de l’équipement hôtelier-restauration. Ce dernier créneau est plus prudent, plus sensible à la crise ». Dans le même temps, l’entreprise bénéficie d’habitudes de vie qui ont évolué et généré des attentes qu’elle observe à la loupe pour y répondre : </w:t>
      </w:r>
      <w:r>
        <w:rPr>
          <w:rStyle w:val="Accentuation"/>
        </w:rPr>
        <w:t>« On passe moins de temps au travail que chez soi. La terrasse et le jardin sont devenus des pièces à part entière pour lesquelles le client est prêt à investir. On vit plus longtemps : il faut penser à du mobilier solide, plus léger, plus maniable et pliant pour tenir compte de l’encombrement. »</w:t>
      </w:r>
    </w:p>
    <w:p w:rsidR="004F12A4" w:rsidRDefault="004F12A4" w:rsidP="006301C1">
      <w:pPr>
        <w:pStyle w:val="NormalWeb"/>
      </w:pPr>
      <w:r>
        <w:rPr>
          <w:rStyle w:val="lev"/>
        </w:rPr>
        <w:lastRenderedPageBreak/>
        <w:t>Labels VIA et certification Iso14001</w:t>
      </w:r>
    </w:p>
    <w:p w:rsidR="004F12A4" w:rsidRDefault="004F12A4" w:rsidP="006301C1">
      <w:pPr>
        <w:pStyle w:val="NormalWeb"/>
      </w:pPr>
      <w:r>
        <w:t xml:space="preserve">Conjuguant tradition et modernité, Fermob a acquis en interne comme en externe la collaboration de créateurs qui font évoluer la production au plus près du marché tout en sachant le surprendre comme elle le fit en introduisant en 1992 la couleur. La palette ne s’est pas épuisée : 8 nouveaux coloris actualisent en 2011 le nuancier métal et toile technique d’extérieur ! Ainsi le 5 octobre, l’ensemble Sixties s’est vu attribuer le Label VIA 2010 : décerné chaque année, lors des salons professionnels, par un jury d’industriels, de designers, d’experts et de journalistes, il récompense la réalisation commune d’un industriel français et d’un designer pour une démarche innovante en termes de matériaux, de technologie, de fonction ou de style. Tout autant que sur l’innovation et sur l’exportation, deux stratégies qu’il a développées à son arrivée, Bernard Reybier mise sur un management respectueux de l’homme et de l’environnement. Une autre clé de la réussite de ce chef d’entreprise qui se défend de tout altruisme en la matière : </w:t>
      </w:r>
      <w:r>
        <w:rPr>
          <w:rStyle w:val="Accentuation"/>
        </w:rPr>
        <w:t>« Indirectement, c’est une évidence, c’est améliorer la productivité et diminuer l’absentéisme »</w:t>
      </w:r>
      <w:r>
        <w:t>. Une journée pour donner à chacun la possibilité de lever le nez du guidon, de comprendre où il s’inscrit dans la fabrication, de découvrir les nouveaux produits et les autres métiers de l’entreprise… pas moins d’une trentaine de process de fabrication améliorés dans l’année, un collaborateur dédié à l’ergonomie des postes de travail, l’utilisation de produits recyclés et recyclables, un tri sélectif depuis dix ans, une chaîne de peinture à zéro rejet : les faits sont là !</w:t>
      </w:r>
    </w:p>
    <w:p w:rsidR="004F12A4" w:rsidRDefault="004F12A4" w:rsidP="006301C1">
      <w:pPr>
        <w:pStyle w:val="NormalWeb"/>
      </w:pPr>
      <w:r>
        <w:t>Et le tableau serait incomplet sans le souci de confier la sous-traitance en priorité à des entreprises régionales : 70 % de celle-ci, ce n’est pas rien, et cela contribue à l’enracinement de la société. Cette dernière se concentre en interne sur la découpe et le formatage du métal, l’assemblage (soudure), le traitement de surface et la peinture. Le stockage des produits et la préparation des commandes sont externalisés.</w:t>
      </w:r>
    </w:p>
    <w:p w:rsidR="004F12A4" w:rsidRDefault="004F12A4" w:rsidP="006301C1">
      <w:pPr>
        <w:pStyle w:val="NormalWeb"/>
      </w:pPr>
      <w:r>
        <w:rPr>
          <w:rStyle w:val="lev"/>
        </w:rPr>
        <w:t xml:space="preserve">Chantal Lajus </w:t>
      </w:r>
    </w:p>
    <w:p w:rsidR="004F12A4" w:rsidRDefault="004F12A4" w:rsidP="00657847">
      <w:pPr>
        <w:jc w:val="both"/>
      </w:pPr>
      <w:r>
        <w:t>Quelle organisation est évoquée dans le document 1 ?</w:t>
      </w:r>
    </w:p>
    <w:p w:rsidR="004F12A4" w:rsidRDefault="004F12A4" w:rsidP="00657847">
      <w:pPr>
        <w:jc w:val="both"/>
      </w:pPr>
      <w:r>
        <w:t>Quelle est son activité ?</w:t>
      </w:r>
    </w:p>
    <w:p w:rsidR="004F12A4" w:rsidRDefault="004F12A4" w:rsidP="00657847">
      <w:pPr>
        <w:jc w:val="both"/>
      </w:pPr>
      <w:r>
        <w:t>De quel événement parle le document ?</w:t>
      </w:r>
    </w:p>
    <w:p w:rsidR="004F12A4" w:rsidRDefault="004F12A4" w:rsidP="00657847">
      <w:pPr>
        <w:jc w:val="both"/>
      </w:pPr>
      <w:r>
        <w:t>Quel est l’objectif de cette organisation ?</w:t>
      </w:r>
    </w:p>
    <w:p w:rsidR="004F12A4" w:rsidRDefault="004F12A4" w:rsidP="00657847">
      <w:pPr>
        <w:jc w:val="both"/>
      </w:pPr>
      <w:r>
        <w:t>Quelle est le nom de l’organisation évoquée dans le document 2 ?</w:t>
      </w:r>
    </w:p>
    <w:p w:rsidR="004F12A4" w:rsidRDefault="00D6637B" w:rsidP="00657847">
      <w:pPr>
        <w:jc w:val="both"/>
      </w:pPr>
      <w:r>
        <w:t>A quel</w:t>
      </w:r>
      <w:r w:rsidR="004F12A4">
        <w:t xml:space="preserve"> type appartient-elle ?</w:t>
      </w:r>
    </w:p>
    <w:p w:rsidR="004F12A4" w:rsidRDefault="004F12A4" w:rsidP="00657847">
      <w:pPr>
        <w:jc w:val="both"/>
      </w:pPr>
      <w:r>
        <w:t>Quelle est son activité ?</w:t>
      </w:r>
    </w:p>
    <w:p w:rsidR="004F12A4" w:rsidRDefault="004F12A4" w:rsidP="00657847">
      <w:pPr>
        <w:jc w:val="both"/>
      </w:pPr>
      <w:r>
        <w:t>Quels sont ses objectifs ?</w:t>
      </w:r>
    </w:p>
    <w:p w:rsidR="004F12A4" w:rsidRDefault="004F12A4" w:rsidP="00657847">
      <w:pPr>
        <w:jc w:val="both"/>
      </w:pPr>
    </w:p>
    <w:p w:rsidR="00D6637B" w:rsidRDefault="00D6637B" w:rsidP="00657847">
      <w:pPr>
        <w:jc w:val="both"/>
      </w:pPr>
    </w:p>
    <w:p w:rsidR="004F12A4" w:rsidRDefault="004F12A4" w:rsidP="00657847">
      <w:pPr>
        <w:jc w:val="both"/>
      </w:pPr>
      <w:r>
        <w:t>3</w:t>
      </w:r>
      <w:r w:rsidRPr="00657847">
        <w:rPr>
          <w:vertAlign w:val="superscript"/>
        </w:rPr>
        <w:t>ième</w:t>
      </w:r>
      <w:r>
        <w:t xml:space="preserve"> situation</w:t>
      </w:r>
    </w:p>
    <w:p w:rsidR="004F12A4" w:rsidRDefault="00DC0B04" w:rsidP="00657847">
      <w:pPr>
        <w:jc w:val="both"/>
      </w:pPr>
      <w:r>
        <w:t>D</w:t>
      </w:r>
      <w:r w:rsidR="004F12A4">
        <w:t>éfinir une organisation.</w:t>
      </w:r>
    </w:p>
    <w:p w:rsidR="004F12A4" w:rsidRDefault="004F12A4"/>
    <w:sectPr w:rsidR="004F12A4" w:rsidSect="002917FC">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A90" w:rsidRDefault="000A7A90" w:rsidP="00DC0B04">
      <w:pPr>
        <w:spacing w:after="0" w:line="240" w:lineRule="auto"/>
      </w:pPr>
      <w:r>
        <w:separator/>
      </w:r>
    </w:p>
  </w:endnote>
  <w:endnote w:type="continuationSeparator" w:id="1">
    <w:p w:rsidR="000A7A90" w:rsidRDefault="000A7A90" w:rsidP="00DC0B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B04" w:rsidRDefault="00DC0B04">
    <w:pPr>
      <w:pStyle w:val="Pieddepage"/>
    </w:pPr>
    <w:r>
      <w:t xml:space="preserve">Evaluation significative proposée par </w:t>
    </w:r>
    <w:r w:rsidR="0082252F">
      <w:t>un</w:t>
    </w:r>
    <w:r>
      <w:t xml:space="preserve"> groupe de travail lors de la </w:t>
    </w:r>
    <w:r w:rsidR="0082252F">
      <w:t>journée</w:t>
    </w:r>
    <w:r>
      <w:t xml:space="preserve"> de formation</w:t>
    </w:r>
    <w:r w:rsidR="0082252F">
      <w:t xml:space="preserve"> du 03 décembre 2010</w:t>
    </w:r>
  </w:p>
  <w:p w:rsidR="00DC0B04" w:rsidRDefault="00DC0B0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A90" w:rsidRDefault="000A7A90" w:rsidP="00DC0B04">
      <w:pPr>
        <w:spacing w:after="0" w:line="240" w:lineRule="auto"/>
      </w:pPr>
      <w:r>
        <w:separator/>
      </w:r>
    </w:p>
  </w:footnote>
  <w:footnote w:type="continuationSeparator" w:id="1">
    <w:p w:rsidR="000A7A90" w:rsidRDefault="000A7A90" w:rsidP="00DC0B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01974"/>
    <w:multiLevelType w:val="multilevel"/>
    <w:tmpl w:val="5A6C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82770C"/>
    <w:multiLevelType w:val="multilevel"/>
    <w:tmpl w:val="4E2E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5540A"/>
    <w:rsid w:val="00003C04"/>
    <w:rsid w:val="000A7A90"/>
    <w:rsid w:val="000D2A80"/>
    <w:rsid w:val="0017564F"/>
    <w:rsid w:val="002917FC"/>
    <w:rsid w:val="002D4B96"/>
    <w:rsid w:val="002E4738"/>
    <w:rsid w:val="0031293F"/>
    <w:rsid w:val="00360728"/>
    <w:rsid w:val="0045511E"/>
    <w:rsid w:val="0045540A"/>
    <w:rsid w:val="004B3733"/>
    <w:rsid w:val="004F12A4"/>
    <w:rsid w:val="006301C1"/>
    <w:rsid w:val="00657847"/>
    <w:rsid w:val="00760E13"/>
    <w:rsid w:val="008145AC"/>
    <w:rsid w:val="0082252F"/>
    <w:rsid w:val="008356B7"/>
    <w:rsid w:val="009046AC"/>
    <w:rsid w:val="00913D66"/>
    <w:rsid w:val="00A44605"/>
    <w:rsid w:val="00AA272A"/>
    <w:rsid w:val="00AC6F13"/>
    <w:rsid w:val="00B10D85"/>
    <w:rsid w:val="00B57D98"/>
    <w:rsid w:val="00BC47C8"/>
    <w:rsid w:val="00C325E2"/>
    <w:rsid w:val="00C75CA3"/>
    <w:rsid w:val="00CB52B0"/>
    <w:rsid w:val="00CC1D22"/>
    <w:rsid w:val="00D3157C"/>
    <w:rsid w:val="00D6637B"/>
    <w:rsid w:val="00D75390"/>
    <w:rsid w:val="00DC0B04"/>
    <w:rsid w:val="00F5580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7FC"/>
    <w:pPr>
      <w:spacing w:after="200" w:line="276" w:lineRule="auto"/>
    </w:pPr>
    <w:rPr>
      <w:lang w:eastAsia="en-US"/>
    </w:rPr>
  </w:style>
  <w:style w:type="paragraph" w:styleId="Titre2">
    <w:name w:val="heading 2"/>
    <w:basedOn w:val="Normal"/>
    <w:link w:val="Titre2Car"/>
    <w:uiPriority w:val="99"/>
    <w:qFormat/>
    <w:rsid w:val="00B57D98"/>
    <w:pPr>
      <w:spacing w:before="100" w:beforeAutospacing="1" w:after="100" w:afterAutospacing="1" w:line="240" w:lineRule="auto"/>
      <w:outlineLvl w:val="1"/>
    </w:pPr>
    <w:rPr>
      <w:rFonts w:ascii="Times New Roman" w:eastAsia="Times New Roman" w:hAnsi="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B57D98"/>
    <w:rPr>
      <w:rFonts w:ascii="Times New Roman" w:hAnsi="Times New Roman" w:cs="Times New Roman"/>
      <w:b/>
      <w:bCs/>
      <w:sz w:val="36"/>
      <w:szCs w:val="36"/>
      <w:lang w:eastAsia="fr-FR"/>
    </w:rPr>
  </w:style>
  <w:style w:type="table" w:styleId="Grilledutableau">
    <w:name w:val="Table Grid"/>
    <w:basedOn w:val="TableauNormal"/>
    <w:uiPriority w:val="99"/>
    <w:rsid w:val="0045540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8145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8145AC"/>
    <w:rPr>
      <w:rFonts w:ascii="Tahoma" w:hAnsi="Tahoma" w:cs="Tahoma"/>
      <w:sz w:val="16"/>
      <w:szCs w:val="16"/>
    </w:rPr>
  </w:style>
  <w:style w:type="paragraph" w:styleId="NormalWeb">
    <w:name w:val="Normal (Web)"/>
    <w:basedOn w:val="Normal"/>
    <w:uiPriority w:val="99"/>
    <w:rsid w:val="004B3733"/>
    <w:pPr>
      <w:spacing w:before="100" w:beforeAutospacing="1" w:after="100" w:afterAutospacing="1" w:line="240" w:lineRule="auto"/>
    </w:pPr>
    <w:rPr>
      <w:rFonts w:ascii="Times New Roman" w:eastAsia="Times New Roman" w:hAnsi="Times New Roman"/>
      <w:sz w:val="24"/>
      <w:szCs w:val="24"/>
      <w:lang w:eastAsia="fr-FR"/>
    </w:rPr>
  </w:style>
  <w:style w:type="character" w:styleId="Lienhypertexte">
    <w:name w:val="Hyperlink"/>
    <w:basedOn w:val="Policepardfaut"/>
    <w:uiPriority w:val="99"/>
    <w:rsid w:val="00BC47C8"/>
    <w:rPr>
      <w:rFonts w:cs="Times New Roman"/>
      <w:color w:val="0000FF"/>
      <w:u w:val="single"/>
    </w:rPr>
  </w:style>
  <w:style w:type="character" w:styleId="lev">
    <w:name w:val="Strong"/>
    <w:basedOn w:val="Policepardfaut"/>
    <w:uiPriority w:val="99"/>
    <w:qFormat/>
    <w:rsid w:val="00B57D98"/>
    <w:rPr>
      <w:rFonts w:cs="Times New Roman"/>
      <w:b/>
      <w:bCs/>
    </w:rPr>
  </w:style>
  <w:style w:type="paragraph" w:customStyle="1" w:styleId="legendegrandeimage">
    <w:name w:val="legendegrandeimage"/>
    <w:basedOn w:val="Normal"/>
    <w:uiPriority w:val="99"/>
    <w:rsid w:val="00B57D98"/>
    <w:pPr>
      <w:spacing w:before="100" w:beforeAutospacing="1" w:after="100" w:afterAutospacing="1" w:line="240" w:lineRule="auto"/>
    </w:pPr>
    <w:rPr>
      <w:rFonts w:ascii="Times New Roman" w:eastAsia="Times New Roman" w:hAnsi="Times New Roman"/>
      <w:sz w:val="24"/>
      <w:szCs w:val="24"/>
      <w:lang w:eastAsia="fr-FR"/>
    </w:rPr>
  </w:style>
  <w:style w:type="character" w:styleId="Accentuation">
    <w:name w:val="Emphasis"/>
    <w:basedOn w:val="Policepardfaut"/>
    <w:uiPriority w:val="99"/>
    <w:qFormat/>
    <w:rsid w:val="006301C1"/>
    <w:rPr>
      <w:rFonts w:cs="Times New Roman"/>
      <w:i/>
      <w:iCs/>
    </w:rPr>
  </w:style>
  <w:style w:type="paragraph" w:styleId="En-tte">
    <w:name w:val="header"/>
    <w:basedOn w:val="Normal"/>
    <w:link w:val="En-tteCar"/>
    <w:uiPriority w:val="99"/>
    <w:semiHidden/>
    <w:unhideWhenUsed/>
    <w:rsid w:val="00DC0B0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C0B04"/>
    <w:rPr>
      <w:lang w:eastAsia="en-US"/>
    </w:rPr>
  </w:style>
  <w:style w:type="paragraph" w:styleId="Pieddepage">
    <w:name w:val="footer"/>
    <w:basedOn w:val="Normal"/>
    <w:link w:val="PieddepageCar"/>
    <w:uiPriority w:val="99"/>
    <w:unhideWhenUsed/>
    <w:rsid w:val="00DC0B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0B04"/>
    <w:rPr>
      <w:lang w:eastAsia="en-US"/>
    </w:rPr>
  </w:style>
</w:styles>
</file>

<file path=word/webSettings.xml><?xml version="1.0" encoding="utf-8"?>
<w:webSettings xmlns:r="http://schemas.openxmlformats.org/officeDocument/2006/relationships" xmlns:w="http://schemas.openxmlformats.org/wordprocessingml/2006/main">
  <w:divs>
    <w:div w:id="1698970598">
      <w:marLeft w:val="0"/>
      <w:marRight w:val="0"/>
      <w:marTop w:val="0"/>
      <w:marBottom w:val="0"/>
      <w:divBdr>
        <w:top w:val="none" w:sz="0" w:space="0" w:color="auto"/>
        <w:left w:val="none" w:sz="0" w:space="0" w:color="auto"/>
        <w:bottom w:val="none" w:sz="0" w:space="0" w:color="auto"/>
        <w:right w:val="none" w:sz="0" w:space="0" w:color="auto"/>
      </w:divBdr>
      <w:divsChild>
        <w:div w:id="1698970593">
          <w:marLeft w:val="0"/>
          <w:marRight w:val="0"/>
          <w:marTop w:val="0"/>
          <w:marBottom w:val="0"/>
          <w:divBdr>
            <w:top w:val="none" w:sz="0" w:space="0" w:color="auto"/>
            <w:left w:val="none" w:sz="0" w:space="0" w:color="auto"/>
            <w:bottom w:val="none" w:sz="0" w:space="0" w:color="auto"/>
            <w:right w:val="none" w:sz="0" w:space="0" w:color="auto"/>
          </w:divBdr>
          <w:divsChild>
            <w:div w:id="1698970591">
              <w:marLeft w:val="0"/>
              <w:marRight w:val="0"/>
              <w:marTop w:val="0"/>
              <w:marBottom w:val="0"/>
              <w:divBdr>
                <w:top w:val="none" w:sz="0" w:space="0" w:color="auto"/>
                <w:left w:val="none" w:sz="0" w:space="0" w:color="auto"/>
                <w:bottom w:val="none" w:sz="0" w:space="0" w:color="auto"/>
                <w:right w:val="none" w:sz="0" w:space="0" w:color="auto"/>
              </w:divBdr>
              <w:divsChild>
                <w:div w:id="1698970596">
                  <w:marLeft w:val="0"/>
                  <w:marRight w:val="0"/>
                  <w:marTop w:val="0"/>
                  <w:marBottom w:val="0"/>
                  <w:divBdr>
                    <w:top w:val="none" w:sz="0" w:space="0" w:color="auto"/>
                    <w:left w:val="none" w:sz="0" w:space="0" w:color="auto"/>
                    <w:bottom w:val="none" w:sz="0" w:space="0" w:color="auto"/>
                    <w:right w:val="none" w:sz="0" w:space="0" w:color="auto"/>
                  </w:divBdr>
                </w:div>
              </w:divsChild>
            </w:div>
            <w:div w:id="169897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70601">
      <w:marLeft w:val="0"/>
      <w:marRight w:val="0"/>
      <w:marTop w:val="0"/>
      <w:marBottom w:val="0"/>
      <w:divBdr>
        <w:top w:val="none" w:sz="0" w:space="0" w:color="auto"/>
        <w:left w:val="none" w:sz="0" w:space="0" w:color="auto"/>
        <w:bottom w:val="none" w:sz="0" w:space="0" w:color="auto"/>
        <w:right w:val="none" w:sz="0" w:space="0" w:color="auto"/>
      </w:divBdr>
      <w:divsChild>
        <w:div w:id="1698970600">
          <w:marLeft w:val="0"/>
          <w:marRight w:val="0"/>
          <w:marTop w:val="0"/>
          <w:marBottom w:val="0"/>
          <w:divBdr>
            <w:top w:val="none" w:sz="0" w:space="0" w:color="auto"/>
            <w:left w:val="none" w:sz="0" w:space="0" w:color="auto"/>
            <w:bottom w:val="none" w:sz="0" w:space="0" w:color="auto"/>
            <w:right w:val="none" w:sz="0" w:space="0" w:color="auto"/>
          </w:divBdr>
          <w:divsChild>
            <w:div w:id="1698970592">
              <w:marLeft w:val="0"/>
              <w:marRight w:val="0"/>
              <w:marTop w:val="0"/>
              <w:marBottom w:val="0"/>
              <w:divBdr>
                <w:top w:val="none" w:sz="0" w:space="0" w:color="auto"/>
                <w:left w:val="none" w:sz="0" w:space="0" w:color="auto"/>
                <w:bottom w:val="none" w:sz="0" w:space="0" w:color="auto"/>
                <w:right w:val="none" w:sz="0" w:space="0" w:color="auto"/>
              </w:divBdr>
              <w:divsChild>
                <w:div w:id="1698970607">
                  <w:marLeft w:val="0"/>
                  <w:marRight w:val="0"/>
                  <w:marTop w:val="0"/>
                  <w:marBottom w:val="0"/>
                  <w:divBdr>
                    <w:top w:val="none" w:sz="0" w:space="0" w:color="auto"/>
                    <w:left w:val="none" w:sz="0" w:space="0" w:color="auto"/>
                    <w:bottom w:val="none" w:sz="0" w:space="0" w:color="auto"/>
                    <w:right w:val="none" w:sz="0" w:space="0" w:color="auto"/>
                  </w:divBdr>
                </w:div>
              </w:divsChild>
            </w:div>
            <w:div w:id="16989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70604">
      <w:marLeft w:val="0"/>
      <w:marRight w:val="0"/>
      <w:marTop w:val="0"/>
      <w:marBottom w:val="0"/>
      <w:divBdr>
        <w:top w:val="none" w:sz="0" w:space="0" w:color="auto"/>
        <w:left w:val="none" w:sz="0" w:space="0" w:color="auto"/>
        <w:bottom w:val="none" w:sz="0" w:space="0" w:color="auto"/>
        <w:right w:val="none" w:sz="0" w:space="0" w:color="auto"/>
      </w:divBdr>
      <w:divsChild>
        <w:div w:id="1698970595">
          <w:marLeft w:val="0"/>
          <w:marRight w:val="0"/>
          <w:marTop w:val="0"/>
          <w:marBottom w:val="0"/>
          <w:divBdr>
            <w:top w:val="none" w:sz="0" w:space="0" w:color="auto"/>
            <w:left w:val="none" w:sz="0" w:space="0" w:color="auto"/>
            <w:bottom w:val="none" w:sz="0" w:space="0" w:color="auto"/>
            <w:right w:val="none" w:sz="0" w:space="0" w:color="auto"/>
          </w:divBdr>
          <w:divsChild>
            <w:div w:id="1698970602">
              <w:marLeft w:val="0"/>
              <w:marRight w:val="0"/>
              <w:marTop w:val="0"/>
              <w:marBottom w:val="0"/>
              <w:divBdr>
                <w:top w:val="none" w:sz="0" w:space="0" w:color="auto"/>
                <w:left w:val="none" w:sz="0" w:space="0" w:color="auto"/>
                <w:bottom w:val="none" w:sz="0" w:space="0" w:color="auto"/>
                <w:right w:val="none" w:sz="0" w:space="0" w:color="auto"/>
              </w:divBdr>
              <w:divsChild>
                <w:div w:id="1698970605">
                  <w:marLeft w:val="0"/>
                  <w:marRight w:val="0"/>
                  <w:marTop w:val="0"/>
                  <w:marBottom w:val="0"/>
                  <w:divBdr>
                    <w:top w:val="none" w:sz="0" w:space="0" w:color="auto"/>
                    <w:left w:val="none" w:sz="0" w:space="0" w:color="auto"/>
                    <w:bottom w:val="none" w:sz="0" w:space="0" w:color="auto"/>
                    <w:right w:val="none" w:sz="0" w:space="0" w:color="auto"/>
                  </w:divBdr>
                  <w:divsChild>
                    <w:div w:id="1698970603">
                      <w:marLeft w:val="0"/>
                      <w:marRight w:val="0"/>
                      <w:marTop w:val="0"/>
                      <w:marBottom w:val="0"/>
                      <w:divBdr>
                        <w:top w:val="none" w:sz="0" w:space="0" w:color="auto"/>
                        <w:left w:val="none" w:sz="0" w:space="0" w:color="auto"/>
                        <w:bottom w:val="none" w:sz="0" w:space="0" w:color="auto"/>
                        <w:right w:val="none" w:sz="0" w:space="0" w:color="auto"/>
                      </w:divBdr>
                      <w:divsChild>
                        <w:div w:id="1698970594">
                          <w:marLeft w:val="0"/>
                          <w:marRight w:val="0"/>
                          <w:marTop w:val="0"/>
                          <w:marBottom w:val="0"/>
                          <w:divBdr>
                            <w:top w:val="none" w:sz="0" w:space="0" w:color="auto"/>
                            <w:left w:val="none" w:sz="0" w:space="0" w:color="auto"/>
                            <w:bottom w:val="none" w:sz="0" w:space="0" w:color="auto"/>
                            <w:right w:val="none" w:sz="0" w:space="0" w:color="auto"/>
                          </w:divBdr>
                          <w:divsChild>
                            <w:div w:id="16989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spiedssurterre.danone.com/mobilisez-vous-pour-les-restos-du-coeur-telechargez-le-kit-de-campagne-201" TargetMode="External"/><Relationship Id="rId13" Type="http://schemas.openxmlformats.org/officeDocument/2006/relationships/hyperlink" Target="http://www.voixdelain.fr/blog/2010/12/16/fermob-l%e2%80%99entreprise-resiste-a-la-crise-surfe-sur-l%e2%80%99innovatio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voixdelain.fr/blog/2010/10/23/chantal-veuillet-et-pascal-eynardi-l%e2%80%99incarnation-du-%c2%ab%c2%a0collectif%c2%a0%c2%bb-mj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1178</Words>
  <Characters>6483</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Evaluation significative en seconde bac indus</vt:lpstr>
    </vt:vector>
  </TitlesOfParts>
  <Company>MUSSET</Company>
  <LinksUpToDate>false</LinksUpToDate>
  <CharactersWithSpaces>7646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significative en seconde bac indus</dc:title>
  <dc:creator>admin</dc:creator>
  <cp:lastModifiedBy>admin</cp:lastModifiedBy>
  <cp:revision>6</cp:revision>
  <dcterms:created xsi:type="dcterms:W3CDTF">2011-07-02T12:40:00Z</dcterms:created>
  <dcterms:modified xsi:type="dcterms:W3CDTF">2011-07-07T04:16:00Z</dcterms:modified>
</cp:coreProperties>
</file>